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49" w:rsidRDefault="00121049" w:rsidP="005F692E">
      <w:r>
        <w:t xml:space="preserve">Exercice </w:t>
      </w:r>
      <w:r w:rsidR="00EA5CB6">
        <w:t>n°70p</w:t>
      </w:r>
      <w:r>
        <w:t xml:space="preserve">64 : </w:t>
      </w:r>
    </w:p>
    <w:p w:rsidR="00121049" w:rsidRPr="00121049" w:rsidRDefault="00121049" w:rsidP="00121049">
      <w:pPr>
        <w:pStyle w:val="Paragraphedeliste"/>
        <w:numPr>
          <w:ilvl w:val="0"/>
          <w:numId w:val="20"/>
        </w:numPr>
      </w:pPr>
      <m:r>
        <w:rPr>
          <w:rFonts w:ascii="Cambria Math" w:hAnsi="Cambria Math"/>
        </w:rPr>
        <w:br/>
      </m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=0,25 x+30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=0,75x+15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 0,5x+20</m:t>
          </m:r>
          <m:r>
            <w:rPr>
              <w:rFonts w:ascii="Cambria Math" w:hAnsi="Cambria Math"/>
            </w:rPr>
            <m:t>.</m:t>
          </m:r>
        </m:oMath>
      </m:oMathPara>
    </w:p>
    <w:p w:rsidR="00EA5CB6" w:rsidRDefault="00121049" w:rsidP="00121049">
      <w:pPr>
        <w:pStyle w:val="Paragraphedeliste"/>
        <w:numPr>
          <w:ilvl w:val="0"/>
          <w:numId w:val="20"/>
        </w:numPr>
      </w:pPr>
      <w: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⇔0,25x+30=0,75x+15⇔15=0,5x⇔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</m:t>
              </m:r>
            </m:num>
            <m:den>
              <m:r>
                <w:rPr>
                  <w:rFonts w:ascii="Cambria Math" w:hAnsi="Cambria Math"/>
                </w:rPr>
                <m:t>0,5</m:t>
              </m:r>
            </m:den>
          </m:f>
          <m:r>
            <w:rPr>
              <w:rFonts w:ascii="Cambria Math" w:hAnsi="Cambria Math"/>
            </w:rPr>
            <m:t>=x⇔x=30.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⇔0,75x+15=0,5x+20⇔0,25x=5⇔</m:t>
          </m:r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0,25</m:t>
              </m:r>
            </m:den>
          </m:f>
          <m:r>
            <w:rPr>
              <w:rFonts w:ascii="Cambria Math" w:hAnsi="Cambria Math"/>
            </w:rPr>
            <m:t>⇔x=20.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⇔0,25x+30=0,5x+20⇔10=0,25x⇔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0,25</m:t>
              </m:r>
            </m:den>
          </m:f>
          <m:r>
            <w:rPr>
              <w:rFonts w:ascii="Cambria Math" w:hAnsi="Cambria Math"/>
            </w:rPr>
            <m:t>=x⇔x=40.</m:t>
          </m:r>
        </m:oMath>
      </m:oMathPara>
    </w:p>
    <w:p w:rsidR="00EA5CB6" w:rsidRDefault="00121049" w:rsidP="00EA5CB6">
      <w:pPr>
        <w:pStyle w:val="Paragraphedeliste"/>
        <w:numPr>
          <w:ilvl w:val="0"/>
          <w:numId w:val="20"/>
        </w:numPr>
      </w:pPr>
      <w:r>
        <w:br/>
      </w:r>
      <w:r>
        <w:rPr>
          <w:noProof/>
        </w:rPr>
        <w:drawing>
          <wp:inline distT="0" distB="0" distL="0" distR="0">
            <wp:extent cx="4078612" cy="3780430"/>
            <wp:effectExtent l="19050" t="0" r="0" b="0"/>
            <wp:docPr id="1" name="Image 1" descr="C:\Users\Jojo\Desktop\15-11-2012 11-01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15-11-2012 11-01-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507" cy="378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EA5CB6" w:rsidRPr="00121049" w:rsidRDefault="00EA5CB6" w:rsidP="00EA5CB6">
      <w:pPr>
        <w:pStyle w:val="Paragraphedeliste"/>
        <w:numPr>
          <w:ilvl w:val="0"/>
          <w:numId w:val="20"/>
        </w:numPr>
      </w:pPr>
      <w:r>
        <w:t xml:space="preserve">Le tarif le plus avantageux pour un dépassement de 25 minutes est le tarif 3 : </w:t>
      </w:r>
      <w: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25</m:t>
              </m:r>
            </m:e>
          </m:d>
          <m:r>
            <w:rPr>
              <w:rFonts w:ascii="Cambria Math" w:hAnsi="Cambria Math"/>
            </w:rPr>
            <m:t>=0,25×25+30=6,25+30=36,25€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25</m:t>
              </m:r>
            </m:e>
          </m:d>
          <m:r>
            <w:rPr>
              <w:rFonts w:ascii="Cambria Math" w:hAnsi="Cambria Math"/>
            </w:rPr>
            <m:t>=0,75</m:t>
          </m:r>
          <m:r>
            <w:rPr>
              <w:rFonts w:ascii="Cambria Math" w:hAnsi="Cambria Math"/>
            </w:rPr>
            <m:t>×25</m:t>
          </m:r>
          <m:r>
            <w:rPr>
              <w:rFonts w:ascii="Cambria Math" w:hAnsi="Cambria Math"/>
            </w:rPr>
            <m:t>+15</m:t>
          </m:r>
          <m:r>
            <w:rPr>
              <w:rFonts w:ascii="Cambria Math" w:hAnsi="Cambria Math"/>
            </w:rPr>
            <m:t>=18,75+15=33,75€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25</m:t>
              </m:r>
            </m:e>
          </m:d>
          <m:r>
            <w:rPr>
              <w:rFonts w:ascii="Cambria Math" w:hAnsi="Cambria Math"/>
            </w:rPr>
            <m:t>= 0,5</m:t>
          </m:r>
          <m:r>
            <w:rPr>
              <w:rFonts w:ascii="Cambria Math" w:hAnsi="Cambria Math"/>
            </w:rPr>
            <m:t>×25</m:t>
          </m:r>
          <m:r>
            <w:rPr>
              <w:rFonts w:ascii="Cambria Math" w:hAnsi="Cambria Math"/>
            </w:rPr>
            <m:t>+20</m:t>
          </m:r>
          <m:r>
            <w:rPr>
              <w:rFonts w:ascii="Cambria Math" w:hAnsi="Cambria Math"/>
            </w:rPr>
            <m:t>=12,5+20=32,5€.</m:t>
          </m:r>
        </m:oMath>
      </m:oMathPara>
    </w:p>
    <w:p w:rsidR="00EA5CB6" w:rsidRDefault="00EA5CB6">
      <w:r>
        <w:br w:type="page"/>
      </w:r>
    </w:p>
    <w:p w:rsidR="00697B76" w:rsidRDefault="00EA5CB6" w:rsidP="00EA5CB6">
      <w:r>
        <w:lastRenderedPageBreak/>
        <w:t xml:space="preserve">Exercice </w:t>
      </w:r>
      <w:r w:rsidRPr="00EA5CB6">
        <w:t>n°55p131</w:t>
      </w:r>
      <w:r>
        <w:t> :</w:t>
      </w:r>
    </w:p>
    <w:tbl>
      <w:tblPr>
        <w:tblW w:w="50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912"/>
        <w:gridCol w:w="1065"/>
        <w:gridCol w:w="985"/>
        <w:gridCol w:w="1046"/>
      </w:tblGrid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Année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0 à 14 ans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15 à 64 ans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Plus de 65 ans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21,65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13,35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21,45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65,41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13,14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21,23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65,71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13,06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20,99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65,88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13,13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20,73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65,94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13,33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20,48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65,91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13,61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20,25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65,84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13,91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20,10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14,20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19,91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65,42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14,67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19,79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65,49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14,72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19,70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65,35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14,95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19,61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65,23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15,16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19,50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65,13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15,37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19,38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15,56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15,74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19,10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15,89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18,97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16,00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18,84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16,13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18,73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16,22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18,63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16,30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18,54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16,36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18,47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16,41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18,43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16,46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18,40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16,50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18,39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65,07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16,54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18,40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64,99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16,61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A5CB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Coefficient directeur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-0,13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0,13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A5CB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Ordonnée à l'origine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279,44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65,79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-245,23</w:t>
            </w: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A5CB6" w:rsidRPr="00EA5CB6" w:rsidTr="00EA5CB6">
        <w:trPr>
          <w:trHeight w:val="30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A5CB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Valeur estimée en 2012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17,88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64,99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CB6" w:rsidRPr="00EA5CB6" w:rsidRDefault="00EA5CB6" w:rsidP="00EA5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5CB6">
              <w:rPr>
                <w:rFonts w:ascii="Calibri" w:eastAsia="Times New Roman" w:hAnsi="Calibri" w:cs="Calibri"/>
                <w:color w:val="000000"/>
              </w:rPr>
              <w:t>17,13</w:t>
            </w:r>
          </w:p>
        </w:tc>
      </w:tr>
    </w:tbl>
    <w:p w:rsidR="00EA5CB6" w:rsidRDefault="00D9547C" w:rsidP="00EA5CB6">
      <w:r w:rsidRPr="00D9547C">
        <w:lastRenderedPageBreak/>
        <w:drawing>
          <wp:inline distT="0" distB="0" distL="0" distR="0">
            <wp:extent cx="5414342" cy="3780430"/>
            <wp:effectExtent l="19050" t="0" r="14908" b="0"/>
            <wp:docPr id="2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EA5CB6" w:rsidSect="00005FE5">
      <w:headerReference w:type="default" r:id="rId9"/>
      <w:footerReference w:type="default" r:id="rId10"/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002" w:rsidRDefault="00FF3002" w:rsidP="000810CD">
      <w:pPr>
        <w:spacing w:after="0" w:line="240" w:lineRule="auto"/>
      </w:pPr>
      <w:r>
        <w:separator/>
      </w:r>
    </w:p>
  </w:endnote>
  <w:endnote w:type="continuationSeparator" w:id="0">
    <w:p w:rsidR="00FF3002" w:rsidRDefault="00FF3002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24"/>
      <w:gridCol w:w="9723"/>
    </w:tblGrid>
    <w:tr w:rsidR="00005FE5">
      <w:tc>
        <w:tcPr>
          <w:tcW w:w="918" w:type="dxa"/>
        </w:tcPr>
        <w:p w:rsidR="00005FE5" w:rsidRDefault="00C016D9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C016D9">
            <w:fldChar w:fldCharType="begin"/>
          </w:r>
          <w:r w:rsidR="00005FE5">
            <w:instrText xml:space="preserve"> PAGE   \* MERGEFORMAT </w:instrText>
          </w:r>
          <w:r w:rsidRPr="00C016D9">
            <w:fldChar w:fldCharType="separate"/>
          </w:r>
          <w:r w:rsidR="00D9547C" w:rsidRPr="00D9547C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005FE5" w:rsidRDefault="00005FE5">
          <w:pPr>
            <w:pStyle w:val="Pieddepage"/>
          </w:pPr>
        </w:p>
      </w:tc>
    </w:tr>
  </w:tbl>
  <w:p w:rsidR="00005FE5" w:rsidRDefault="00005FE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002" w:rsidRDefault="00FF3002" w:rsidP="000810CD">
      <w:pPr>
        <w:spacing w:after="0" w:line="240" w:lineRule="auto"/>
      </w:pPr>
      <w:r>
        <w:separator/>
      </w:r>
    </w:p>
  </w:footnote>
  <w:footnote w:type="continuationSeparator" w:id="0">
    <w:p w:rsidR="00FF3002" w:rsidRDefault="00FF3002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FE5" w:rsidRDefault="00005FE5" w:rsidP="007F6F7F">
    <w:pPr>
      <w:pStyle w:val="En-tte"/>
      <w:tabs>
        <w:tab w:val="clear" w:pos="9072"/>
        <w:tab w:val="right" w:pos="10348"/>
      </w:tabs>
      <w:ind w:right="283"/>
    </w:pPr>
    <w:r>
      <w:t>T STI SIN</w:t>
    </w:r>
    <w:r>
      <w:ptab w:relativeTo="margin" w:alignment="center" w:leader="none"/>
    </w:r>
    <w:r w:rsidR="007F6F7F">
      <w:t>Correction du DM</w:t>
    </w:r>
    <w:r>
      <w:ptab w:relativeTo="margin" w:alignment="right" w:leader="none"/>
    </w:r>
    <w:r w:rsidR="007F6F7F">
      <w:t>16</w:t>
    </w:r>
    <w:r>
      <w:t>/11/2012</w:t>
    </w:r>
  </w:p>
  <w:p w:rsidR="00005FE5" w:rsidRDefault="00005FE5" w:rsidP="005F692E">
    <w:pPr>
      <w:pStyle w:val="En-tte"/>
      <w:tabs>
        <w:tab w:val="clear" w:pos="4536"/>
        <w:tab w:val="clear" w:pos="9072"/>
        <w:tab w:val="center" w:pos="5103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11A01"/>
    <w:multiLevelType w:val="hybridMultilevel"/>
    <w:tmpl w:val="647419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83E11"/>
    <w:multiLevelType w:val="hybridMultilevel"/>
    <w:tmpl w:val="A586AFFE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E86D67"/>
    <w:multiLevelType w:val="hybridMultilevel"/>
    <w:tmpl w:val="EA7C47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2"/>
  </w:num>
  <w:num w:numId="5">
    <w:abstractNumId w:val="17"/>
  </w:num>
  <w:num w:numId="6">
    <w:abstractNumId w:val="9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"/>
  </w:num>
  <w:num w:numId="11">
    <w:abstractNumId w:val="15"/>
  </w:num>
  <w:num w:numId="12">
    <w:abstractNumId w:val="4"/>
  </w:num>
  <w:num w:numId="13">
    <w:abstractNumId w:val="10"/>
  </w:num>
  <w:num w:numId="14">
    <w:abstractNumId w:val="1"/>
  </w:num>
  <w:num w:numId="15">
    <w:abstractNumId w:val="7"/>
  </w:num>
  <w:num w:numId="16">
    <w:abstractNumId w:val="11"/>
  </w:num>
  <w:num w:numId="17">
    <w:abstractNumId w:val="13"/>
  </w:num>
  <w:num w:numId="18">
    <w:abstractNumId w:val="6"/>
  </w:num>
  <w:num w:numId="19">
    <w:abstractNumId w:val="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051B2"/>
    <w:rsid w:val="00005FE5"/>
    <w:rsid w:val="00042DFE"/>
    <w:rsid w:val="000810CD"/>
    <w:rsid w:val="00086456"/>
    <w:rsid w:val="000B0D26"/>
    <w:rsid w:val="000D07B6"/>
    <w:rsid w:val="00104786"/>
    <w:rsid w:val="001159E2"/>
    <w:rsid w:val="00121049"/>
    <w:rsid w:val="00123BF4"/>
    <w:rsid w:val="00126CBA"/>
    <w:rsid w:val="00191AE5"/>
    <w:rsid w:val="00252412"/>
    <w:rsid w:val="002526DD"/>
    <w:rsid w:val="00265906"/>
    <w:rsid w:val="00266607"/>
    <w:rsid w:val="0029752B"/>
    <w:rsid w:val="002E1972"/>
    <w:rsid w:val="003245C4"/>
    <w:rsid w:val="00345C22"/>
    <w:rsid w:val="00355CE2"/>
    <w:rsid w:val="00375A31"/>
    <w:rsid w:val="003804C7"/>
    <w:rsid w:val="00383755"/>
    <w:rsid w:val="003D0A00"/>
    <w:rsid w:val="003E7797"/>
    <w:rsid w:val="00482D7D"/>
    <w:rsid w:val="004C0394"/>
    <w:rsid w:val="00514C14"/>
    <w:rsid w:val="005162A4"/>
    <w:rsid w:val="00527B19"/>
    <w:rsid w:val="00536521"/>
    <w:rsid w:val="005714FE"/>
    <w:rsid w:val="00575A9A"/>
    <w:rsid w:val="005A0BB9"/>
    <w:rsid w:val="005B1A56"/>
    <w:rsid w:val="005D3EB1"/>
    <w:rsid w:val="005D484A"/>
    <w:rsid w:val="005D57FB"/>
    <w:rsid w:val="005D6BF5"/>
    <w:rsid w:val="005E4DF0"/>
    <w:rsid w:val="005F692E"/>
    <w:rsid w:val="005F7489"/>
    <w:rsid w:val="00670516"/>
    <w:rsid w:val="00684253"/>
    <w:rsid w:val="00691FD4"/>
    <w:rsid w:val="00693C9F"/>
    <w:rsid w:val="00697B76"/>
    <w:rsid w:val="00751195"/>
    <w:rsid w:val="00753989"/>
    <w:rsid w:val="00760C1B"/>
    <w:rsid w:val="007E3C45"/>
    <w:rsid w:val="007E7E90"/>
    <w:rsid w:val="007F36AE"/>
    <w:rsid w:val="007F6F7F"/>
    <w:rsid w:val="008812BC"/>
    <w:rsid w:val="00896D72"/>
    <w:rsid w:val="008B40D6"/>
    <w:rsid w:val="008F2F24"/>
    <w:rsid w:val="00921689"/>
    <w:rsid w:val="0093567E"/>
    <w:rsid w:val="00942FDA"/>
    <w:rsid w:val="009B0729"/>
    <w:rsid w:val="009C103E"/>
    <w:rsid w:val="009D70F6"/>
    <w:rsid w:val="00A05F59"/>
    <w:rsid w:val="00A26EE7"/>
    <w:rsid w:val="00A27233"/>
    <w:rsid w:val="00A27720"/>
    <w:rsid w:val="00A61DE4"/>
    <w:rsid w:val="00A81CF0"/>
    <w:rsid w:val="00AD0B35"/>
    <w:rsid w:val="00AD134E"/>
    <w:rsid w:val="00B0791A"/>
    <w:rsid w:val="00B27F88"/>
    <w:rsid w:val="00B44A10"/>
    <w:rsid w:val="00B53A2D"/>
    <w:rsid w:val="00B60E18"/>
    <w:rsid w:val="00B91CEA"/>
    <w:rsid w:val="00B9453B"/>
    <w:rsid w:val="00B95C4F"/>
    <w:rsid w:val="00C016D9"/>
    <w:rsid w:val="00C405D0"/>
    <w:rsid w:val="00D04F31"/>
    <w:rsid w:val="00D15A13"/>
    <w:rsid w:val="00D34D6B"/>
    <w:rsid w:val="00D37877"/>
    <w:rsid w:val="00D64408"/>
    <w:rsid w:val="00D6724D"/>
    <w:rsid w:val="00D71D54"/>
    <w:rsid w:val="00D937A7"/>
    <w:rsid w:val="00D9547C"/>
    <w:rsid w:val="00DC1559"/>
    <w:rsid w:val="00DF1A10"/>
    <w:rsid w:val="00E25BE5"/>
    <w:rsid w:val="00E50C42"/>
    <w:rsid w:val="00E53677"/>
    <w:rsid w:val="00E66913"/>
    <w:rsid w:val="00E67B65"/>
    <w:rsid w:val="00EA30F1"/>
    <w:rsid w:val="00EA5CB6"/>
    <w:rsid w:val="00F51708"/>
    <w:rsid w:val="00F71F21"/>
    <w:rsid w:val="00F7279B"/>
    <w:rsid w:val="00FA7078"/>
    <w:rsid w:val="00FC270A"/>
    <w:rsid w:val="00FF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5D0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F69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jo\AppData\Local\Temp\Tableur%20Math-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>
        <c:manualLayout>
          <c:layoutTarget val="inner"/>
          <c:xMode val="edge"/>
          <c:yMode val="edge"/>
          <c:x val="8.6001450665115733E-2"/>
          <c:y val="2.2944377455170077E-2"/>
          <c:w val="0.71649695865168195"/>
          <c:h val="0.87948608923884519"/>
        </c:manualLayout>
      </c:layout>
      <c:scatterChart>
        <c:scatterStyle val="smoothMarker"/>
        <c:ser>
          <c:idx val="0"/>
          <c:order val="0"/>
          <c:tx>
            <c:strRef>
              <c:f>Feuil1!$B$1</c:f>
              <c:strCache>
                <c:ptCount val="1"/>
                <c:pt idx="0">
                  <c:v>0 à 14 ans</c:v>
                </c:pt>
              </c:strCache>
            </c:strRef>
          </c:tx>
          <c:xVal>
            <c:numRef>
              <c:f>Feuil1!$A$2:$A$28</c:f>
              <c:numCache>
                <c:formatCode>General</c:formatCode>
                <c:ptCount val="27"/>
                <c:pt idx="0">
                  <c:v>1983</c:v>
                </c:pt>
                <c:pt idx="1">
                  <c:v>1984</c:v>
                </c:pt>
                <c:pt idx="2">
                  <c:v>1985</c:v>
                </c:pt>
                <c:pt idx="3">
                  <c:v>1986</c:v>
                </c:pt>
                <c:pt idx="4">
                  <c:v>1987</c:v>
                </c:pt>
                <c:pt idx="5">
                  <c:v>1988</c:v>
                </c:pt>
                <c:pt idx="6">
                  <c:v>1989</c:v>
                </c:pt>
                <c:pt idx="7">
                  <c:v>1990</c:v>
                </c:pt>
                <c:pt idx="8">
                  <c:v>1991</c:v>
                </c:pt>
                <c:pt idx="9">
                  <c:v>1992</c:v>
                </c:pt>
                <c:pt idx="10">
                  <c:v>1993</c:v>
                </c:pt>
                <c:pt idx="11">
                  <c:v>1994</c:v>
                </c:pt>
                <c:pt idx="12">
                  <c:v>1995</c:v>
                </c:pt>
                <c:pt idx="13">
                  <c:v>1996</c:v>
                </c:pt>
                <c:pt idx="14">
                  <c:v>1997</c:v>
                </c:pt>
                <c:pt idx="15">
                  <c:v>1998</c:v>
                </c:pt>
                <c:pt idx="16">
                  <c:v>1999</c:v>
                </c:pt>
                <c:pt idx="17">
                  <c:v>2000</c:v>
                </c:pt>
                <c:pt idx="18">
                  <c:v>2001</c:v>
                </c:pt>
                <c:pt idx="19">
                  <c:v>2002</c:v>
                </c:pt>
                <c:pt idx="20">
                  <c:v>2003</c:v>
                </c:pt>
                <c:pt idx="21">
                  <c:v>2004</c:v>
                </c:pt>
                <c:pt idx="22">
                  <c:v>2005</c:v>
                </c:pt>
                <c:pt idx="23">
                  <c:v>2006</c:v>
                </c:pt>
                <c:pt idx="24">
                  <c:v>2007</c:v>
                </c:pt>
                <c:pt idx="25">
                  <c:v>2008</c:v>
                </c:pt>
              </c:numCache>
            </c:numRef>
          </c:xVal>
          <c:yVal>
            <c:numRef>
              <c:f>Feuil1!$B$2:$B$28</c:f>
              <c:numCache>
                <c:formatCode>0.00</c:formatCode>
                <c:ptCount val="27"/>
                <c:pt idx="0">
                  <c:v>21.650000000000002</c:v>
                </c:pt>
                <c:pt idx="1">
                  <c:v>21.45</c:v>
                </c:pt>
                <c:pt idx="2">
                  <c:v>21.23</c:v>
                </c:pt>
                <c:pt idx="3">
                  <c:v>20.99</c:v>
                </c:pt>
                <c:pt idx="4">
                  <c:v>20.73</c:v>
                </c:pt>
                <c:pt idx="5">
                  <c:v>20.479999999999997</c:v>
                </c:pt>
                <c:pt idx="6">
                  <c:v>20.25</c:v>
                </c:pt>
                <c:pt idx="7">
                  <c:v>20.100000000000001</c:v>
                </c:pt>
                <c:pt idx="8">
                  <c:v>19.91</c:v>
                </c:pt>
                <c:pt idx="9">
                  <c:v>19.79</c:v>
                </c:pt>
                <c:pt idx="10">
                  <c:v>19.7</c:v>
                </c:pt>
                <c:pt idx="11">
                  <c:v>19.610000000000003</c:v>
                </c:pt>
                <c:pt idx="12">
                  <c:v>19.5</c:v>
                </c:pt>
                <c:pt idx="13">
                  <c:v>19.38</c:v>
                </c:pt>
                <c:pt idx="14">
                  <c:v>19.239999999999995</c:v>
                </c:pt>
                <c:pt idx="15">
                  <c:v>19.100000000000001</c:v>
                </c:pt>
                <c:pt idx="16">
                  <c:v>18.97</c:v>
                </c:pt>
                <c:pt idx="17">
                  <c:v>18.84</c:v>
                </c:pt>
                <c:pt idx="18">
                  <c:v>18.73</c:v>
                </c:pt>
                <c:pt idx="19">
                  <c:v>18.630000000000003</c:v>
                </c:pt>
                <c:pt idx="20">
                  <c:v>18.54</c:v>
                </c:pt>
                <c:pt idx="21">
                  <c:v>18.47</c:v>
                </c:pt>
                <c:pt idx="22">
                  <c:v>18.43</c:v>
                </c:pt>
                <c:pt idx="23">
                  <c:v>18.399999999999999</c:v>
                </c:pt>
                <c:pt idx="24">
                  <c:v>18.39</c:v>
                </c:pt>
                <c:pt idx="25">
                  <c:v>18.399999999999999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15 à 64 ans</c:v>
                </c:pt>
              </c:strCache>
            </c:strRef>
          </c:tx>
          <c:xVal>
            <c:numRef>
              <c:f>Feuil1!$A$2:$A$28</c:f>
              <c:numCache>
                <c:formatCode>General</c:formatCode>
                <c:ptCount val="27"/>
                <c:pt idx="0">
                  <c:v>1983</c:v>
                </c:pt>
                <c:pt idx="1">
                  <c:v>1984</c:v>
                </c:pt>
                <c:pt idx="2">
                  <c:v>1985</c:v>
                </c:pt>
                <c:pt idx="3">
                  <c:v>1986</c:v>
                </c:pt>
                <c:pt idx="4">
                  <c:v>1987</c:v>
                </c:pt>
                <c:pt idx="5">
                  <c:v>1988</c:v>
                </c:pt>
                <c:pt idx="6">
                  <c:v>1989</c:v>
                </c:pt>
                <c:pt idx="7">
                  <c:v>1990</c:v>
                </c:pt>
                <c:pt idx="8">
                  <c:v>1991</c:v>
                </c:pt>
                <c:pt idx="9">
                  <c:v>1992</c:v>
                </c:pt>
                <c:pt idx="10">
                  <c:v>1993</c:v>
                </c:pt>
                <c:pt idx="11">
                  <c:v>1994</c:v>
                </c:pt>
                <c:pt idx="12">
                  <c:v>1995</c:v>
                </c:pt>
                <c:pt idx="13">
                  <c:v>1996</c:v>
                </c:pt>
                <c:pt idx="14">
                  <c:v>1997</c:v>
                </c:pt>
                <c:pt idx="15">
                  <c:v>1998</c:v>
                </c:pt>
                <c:pt idx="16">
                  <c:v>1999</c:v>
                </c:pt>
                <c:pt idx="17">
                  <c:v>2000</c:v>
                </c:pt>
                <c:pt idx="18">
                  <c:v>2001</c:v>
                </c:pt>
                <c:pt idx="19">
                  <c:v>2002</c:v>
                </c:pt>
                <c:pt idx="20">
                  <c:v>2003</c:v>
                </c:pt>
                <c:pt idx="21">
                  <c:v>2004</c:v>
                </c:pt>
                <c:pt idx="22">
                  <c:v>2005</c:v>
                </c:pt>
                <c:pt idx="23">
                  <c:v>2006</c:v>
                </c:pt>
                <c:pt idx="24">
                  <c:v>2007</c:v>
                </c:pt>
                <c:pt idx="25">
                  <c:v>2008</c:v>
                </c:pt>
              </c:numCache>
            </c:numRef>
          </c:xVal>
          <c:yVal>
            <c:numRef>
              <c:f>Feuil1!$C$2:$C$28</c:f>
              <c:numCache>
                <c:formatCode>0.00</c:formatCode>
                <c:ptCount val="27"/>
                <c:pt idx="0">
                  <c:v>65</c:v>
                </c:pt>
                <c:pt idx="1">
                  <c:v>65.410000000000011</c:v>
                </c:pt>
                <c:pt idx="2">
                  <c:v>65.710000000000022</c:v>
                </c:pt>
                <c:pt idx="3">
                  <c:v>65.88</c:v>
                </c:pt>
                <c:pt idx="4">
                  <c:v>65.940000000000012</c:v>
                </c:pt>
                <c:pt idx="5">
                  <c:v>65.910000000000011</c:v>
                </c:pt>
                <c:pt idx="6">
                  <c:v>65.84</c:v>
                </c:pt>
                <c:pt idx="7">
                  <c:v>65.7</c:v>
                </c:pt>
                <c:pt idx="8">
                  <c:v>65.42</c:v>
                </c:pt>
                <c:pt idx="9">
                  <c:v>65.490000000000023</c:v>
                </c:pt>
                <c:pt idx="10">
                  <c:v>65.349999999999994</c:v>
                </c:pt>
                <c:pt idx="11">
                  <c:v>65.23</c:v>
                </c:pt>
                <c:pt idx="12">
                  <c:v>65.13</c:v>
                </c:pt>
                <c:pt idx="13">
                  <c:v>65.06</c:v>
                </c:pt>
                <c:pt idx="14">
                  <c:v>65.02000000000001</c:v>
                </c:pt>
                <c:pt idx="15">
                  <c:v>65.009999999999991</c:v>
                </c:pt>
                <c:pt idx="16">
                  <c:v>65.03</c:v>
                </c:pt>
                <c:pt idx="17">
                  <c:v>65.03</c:v>
                </c:pt>
                <c:pt idx="18">
                  <c:v>65.05</c:v>
                </c:pt>
                <c:pt idx="19">
                  <c:v>65.069999999999993</c:v>
                </c:pt>
                <c:pt idx="20">
                  <c:v>65.099999999999994</c:v>
                </c:pt>
                <c:pt idx="21">
                  <c:v>65.11999999999999</c:v>
                </c:pt>
                <c:pt idx="22">
                  <c:v>65.11</c:v>
                </c:pt>
                <c:pt idx="23">
                  <c:v>65.099999999999994</c:v>
                </c:pt>
                <c:pt idx="24">
                  <c:v>65.069999999999993</c:v>
                </c:pt>
                <c:pt idx="25">
                  <c:v>64.990000000000023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Plus de 65 ans</c:v>
                </c:pt>
              </c:strCache>
            </c:strRef>
          </c:tx>
          <c:xVal>
            <c:numRef>
              <c:f>Feuil1!$A$2:$A$28</c:f>
              <c:numCache>
                <c:formatCode>General</c:formatCode>
                <c:ptCount val="27"/>
                <c:pt idx="0">
                  <c:v>1983</c:v>
                </c:pt>
                <c:pt idx="1">
                  <c:v>1984</c:v>
                </c:pt>
                <c:pt idx="2">
                  <c:v>1985</c:v>
                </c:pt>
                <c:pt idx="3">
                  <c:v>1986</c:v>
                </c:pt>
                <c:pt idx="4">
                  <c:v>1987</c:v>
                </c:pt>
                <c:pt idx="5">
                  <c:v>1988</c:v>
                </c:pt>
                <c:pt idx="6">
                  <c:v>1989</c:v>
                </c:pt>
                <c:pt idx="7">
                  <c:v>1990</c:v>
                </c:pt>
                <c:pt idx="8">
                  <c:v>1991</c:v>
                </c:pt>
                <c:pt idx="9">
                  <c:v>1992</c:v>
                </c:pt>
                <c:pt idx="10">
                  <c:v>1993</c:v>
                </c:pt>
                <c:pt idx="11">
                  <c:v>1994</c:v>
                </c:pt>
                <c:pt idx="12">
                  <c:v>1995</c:v>
                </c:pt>
                <c:pt idx="13">
                  <c:v>1996</c:v>
                </c:pt>
                <c:pt idx="14">
                  <c:v>1997</c:v>
                </c:pt>
                <c:pt idx="15">
                  <c:v>1998</c:v>
                </c:pt>
                <c:pt idx="16">
                  <c:v>1999</c:v>
                </c:pt>
                <c:pt idx="17">
                  <c:v>2000</c:v>
                </c:pt>
                <c:pt idx="18">
                  <c:v>2001</c:v>
                </c:pt>
                <c:pt idx="19">
                  <c:v>2002</c:v>
                </c:pt>
                <c:pt idx="20">
                  <c:v>2003</c:v>
                </c:pt>
                <c:pt idx="21">
                  <c:v>2004</c:v>
                </c:pt>
                <c:pt idx="22">
                  <c:v>2005</c:v>
                </c:pt>
                <c:pt idx="23">
                  <c:v>2006</c:v>
                </c:pt>
                <c:pt idx="24">
                  <c:v>2007</c:v>
                </c:pt>
                <c:pt idx="25">
                  <c:v>2008</c:v>
                </c:pt>
              </c:numCache>
            </c:numRef>
          </c:xVal>
          <c:yVal>
            <c:numRef>
              <c:f>Feuil1!$D$2:$D$28</c:f>
              <c:numCache>
                <c:formatCode>0.00</c:formatCode>
                <c:ptCount val="27"/>
                <c:pt idx="0">
                  <c:v>13.350000000000001</c:v>
                </c:pt>
                <c:pt idx="1">
                  <c:v>13.139999999999999</c:v>
                </c:pt>
                <c:pt idx="2">
                  <c:v>13.06</c:v>
                </c:pt>
                <c:pt idx="3">
                  <c:v>13.129999999999999</c:v>
                </c:pt>
                <c:pt idx="4">
                  <c:v>13.33</c:v>
                </c:pt>
                <c:pt idx="5">
                  <c:v>13.61</c:v>
                </c:pt>
                <c:pt idx="6">
                  <c:v>13.91</c:v>
                </c:pt>
                <c:pt idx="7">
                  <c:v>14.2</c:v>
                </c:pt>
                <c:pt idx="8">
                  <c:v>14.67</c:v>
                </c:pt>
                <c:pt idx="9">
                  <c:v>14.719999999999999</c:v>
                </c:pt>
                <c:pt idx="10">
                  <c:v>14.950000000000001</c:v>
                </c:pt>
                <c:pt idx="11">
                  <c:v>15.16</c:v>
                </c:pt>
                <c:pt idx="12">
                  <c:v>15.370000000000001</c:v>
                </c:pt>
                <c:pt idx="13">
                  <c:v>15.56</c:v>
                </c:pt>
                <c:pt idx="14">
                  <c:v>15.739999999999998</c:v>
                </c:pt>
                <c:pt idx="15">
                  <c:v>15.89</c:v>
                </c:pt>
                <c:pt idx="16">
                  <c:v>16</c:v>
                </c:pt>
                <c:pt idx="17">
                  <c:v>16.130000000000003</c:v>
                </c:pt>
                <c:pt idx="18">
                  <c:v>16.22</c:v>
                </c:pt>
                <c:pt idx="19">
                  <c:v>16.3</c:v>
                </c:pt>
                <c:pt idx="20">
                  <c:v>16.36</c:v>
                </c:pt>
                <c:pt idx="21">
                  <c:v>16.41</c:v>
                </c:pt>
                <c:pt idx="22">
                  <c:v>16.459999999999997</c:v>
                </c:pt>
                <c:pt idx="23">
                  <c:v>16.5</c:v>
                </c:pt>
                <c:pt idx="24">
                  <c:v>16.54</c:v>
                </c:pt>
                <c:pt idx="25">
                  <c:v>16.610000000000003</c:v>
                </c:pt>
              </c:numCache>
            </c:numRef>
          </c:yVal>
          <c:smooth val="1"/>
        </c:ser>
        <c:axId val="77812096"/>
        <c:axId val="77813632"/>
      </c:scatterChart>
      <c:valAx>
        <c:axId val="77812096"/>
        <c:scaling>
          <c:orientation val="minMax"/>
          <c:max val="2008"/>
          <c:min val="1983"/>
        </c:scaling>
        <c:axPos val="b"/>
        <c:numFmt formatCode="General" sourceLinked="1"/>
        <c:tickLblPos val="nextTo"/>
        <c:txPr>
          <a:bodyPr rot="-5400000" vert="horz"/>
          <a:lstStyle/>
          <a:p>
            <a:pPr>
              <a:defRPr/>
            </a:pPr>
            <a:endParaRPr lang="fr-FR"/>
          </a:p>
        </c:txPr>
        <c:crossAx val="77813632"/>
        <c:crosses val="autoZero"/>
        <c:crossBetween val="midCat"/>
        <c:majorUnit val="1"/>
        <c:minorUnit val="1"/>
      </c:valAx>
      <c:valAx>
        <c:axId val="77813632"/>
        <c:scaling>
          <c:orientation val="minMax"/>
        </c:scaling>
        <c:axPos val="l"/>
        <c:majorGridlines/>
        <c:numFmt formatCode="0.00" sourceLinked="1"/>
        <c:tickLblPos val="nextTo"/>
        <c:crossAx val="7781209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cp:lastPrinted>2012-11-14T16:06:00Z</cp:lastPrinted>
  <dcterms:created xsi:type="dcterms:W3CDTF">2012-11-15T09:54:00Z</dcterms:created>
  <dcterms:modified xsi:type="dcterms:W3CDTF">2012-11-15T10:35:00Z</dcterms:modified>
</cp:coreProperties>
</file>