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95" w:rsidRPr="005F7A95" w:rsidRDefault="005F7A95" w:rsidP="005F7A95">
      <w:bookmarkStart w:id="0" w:name="_GoBack"/>
      <w:bookmarkEnd w:id="0"/>
      <w:r>
        <w:rPr>
          <w:rFonts w:ascii="Comic Sans MS" w:hAnsi="Comic Sans MS"/>
          <w:sz w:val="24"/>
        </w:rPr>
        <w:t xml:space="preserve">Dans la pratique, on ne peut pas mesurer avec exactitude </w:t>
      </w:r>
      <w:r w:rsidR="005F0F9D">
        <w:rPr>
          <w:rFonts w:ascii="Comic Sans MS" w:hAnsi="Comic Sans MS"/>
          <w:sz w:val="24"/>
        </w:rPr>
        <w:t xml:space="preserve">la proportion d’un caractère dans la population (intention de vote pour un candidat lors d’une élection – nombre de personne ayant </w:t>
      </w:r>
      <w:r w:rsidR="0004149E">
        <w:rPr>
          <w:rFonts w:ascii="Comic Sans MS" w:hAnsi="Comic Sans MS"/>
          <w:sz w:val="24"/>
        </w:rPr>
        <w:t>regardé</w:t>
      </w:r>
      <w:r w:rsidR="005F0F9D">
        <w:rPr>
          <w:rFonts w:ascii="Comic Sans MS" w:hAnsi="Comic Sans MS"/>
          <w:sz w:val="24"/>
        </w:rPr>
        <w:t xml:space="preserve"> une émission de télévision samedi soir…). Pour réaliser ce type de mesure, les statisticiens mesurent le caractère en question sur une petite partie de la population (suffisamment grande </w:t>
      </w:r>
      <w:r w:rsidR="005F0F9D" w:rsidRPr="005F0F9D">
        <w:rPr>
          <w:rFonts w:ascii="Comic Sans MS" w:hAnsi="Comic Sans MS"/>
          <w:b/>
          <w:sz w:val="24"/>
        </w:rPr>
        <w:t>un échantillon</w:t>
      </w:r>
      <w:r w:rsidR="005F0F9D">
        <w:rPr>
          <w:rFonts w:ascii="Comic Sans MS" w:hAnsi="Comic Sans MS"/>
          <w:sz w:val="24"/>
        </w:rPr>
        <w:t>) et en mesur</w:t>
      </w:r>
      <w:r w:rsidR="00AB38AD">
        <w:rPr>
          <w:rFonts w:ascii="Comic Sans MS" w:hAnsi="Comic Sans MS"/>
          <w:sz w:val="24"/>
        </w:rPr>
        <w:t>er les fréquences</w:t>
      </w:r>
      <w:r w:rsidR="005F0F9D">
        <w:rPr>
          <w:rFonts w:ascii="Comic Sans MS" w:hAnsi="Comic Sans MS"/>
          <w:sz w:val="24"/>
        </w:rPr>
        <w:t xml:space="preserve">. On parle de </w:t>
      </w:r>
      <w:r w:rsidR="005F0F9D" w:rsidRPr="00AB38AD">
        <w:rPr>
          <w:rFonts w:ascii="Comic Sans MS" w:hAnsi="Comic Sans MS"/>
          <w:b/>
          <w:sz w:val="24"/>
        </w:rPr>
        <w:t>fluctuation d’échantillonnage</w:t>
      </w:r>
      <w:r w:rsidR="005F0F9D">
        <w:rPr>
          <w:rFonts w:ascii="Comic Sans MS" w:hAnsi="Comic Sans MS"/>
          <w:sz w:val="24"/>
        </w:rPr>
        <w:t>.</w:t>
      </w:r>
    </w:p>
    <w:p w:rsidR="005F7A95" w:rsidRDefault="00AB38AD" w:rsidP="005F7A95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Intervalle de fluctuation</w:t>
      </w:r>
    </w:p>
    <w:p w:rsidR="00AB38AD" w:rsidRPr="00AB38AD" w:rsidRDefault="00AB38AD" w:rsidP="00AB38AD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sz w:val="24"/>
        </w:rPr>
        <w:t>Lors de la simulation d’une expérience aléatoire sur ordinateur, on observe que les fréquences des échantillons créés fluctuent autour de la probabilité.</w:t>
      </w:r>
    </w:p>
    <w:p w:rsidR="005F0F9D" w:rsidRDefault="003F7809" w:rsidP="005F0F9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b/>
          <w:noProof/>
          <w:color w:val="00B050"/>
          <w:sz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711835</wp:posOffset>
            </wp:positionV>
            <wp:extent cx="2344420" cy="1163955"/>
            <wp:effectExtent l="19050" t="0" r="0" b="0"/>
            <wp:wrapTight wrapText="bothSides">
              <wp:wrapPolygon edited="0">
                <wp:start x="-176" y="0"/>
                <wp:lineTo x="-176" y="21211"/>
                <wp:lineTo x="21588" y="21211"/>
                <wp:lineTo x="21588" y="0"/>
                <wp:lineTo x="-176" y="0"/>
              </wp:wrapPolygon>
            </wp:wrapTight>
            <wp:docPr id="1" name="Image 1" descr="C:\Users\Jojo\Desktop\04-02-2013 12-00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4-02-2013 12-00-0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0F9D" w:rsidRPr="001D5A5E">
        <w:rPr>
          <w:b/>
          <w:color w:val="00B050"/>
          <w:sz w:val="28"/>
          <w:u w:val="single"/>
        </w:rPr>
        <w:sym w:font="Wingdings" w:char="F040"/>
      </w:r>
      <w:r w:rsidR="005F0F9D" w:rsidRPr="005F0F9D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5F0F9D" w:rsidRPr="005F0F9D">
        <w:rPr>
          <w:rFonts w:ascii="Comic Sans MS" w:hAnsi="Comic Sans MS"/>
          <w:color w:val="00B050"/>
          <w:sz w:val="24"/>
        </w:rPr>
        <w:t> </w:t>
      </w:r>
      <w:r w:rsidR="005F0F9D" w:rsidRPr="005F0F9D">
        <w:rPr>
          <w:rFonts w:ascii="Comic Sans MS" w:hAnsi="Comic Sans MS"/>
          <w:sz w:val="24"/>
        </w:rPr>
        <w:t>:</w:t>
      </w:r>
      <w:r w:rsidR="005F0F9D">
        <w:rPr>
          <w:rFonts w:ascii="Comic Sans MS" w:hAnsi="Comic Sans MS"/>
          <w:sz w:val="24"/>
        </w:rPr>
        <w:t xml:space="preserve"> (Lorsqu’on connait la proportion du caractère dans </w:t>
      </w:r>
      <w:proofErr w:type="gramStart"/>
      <w:r w:rsidR="005F0F9D">
        <w:rPr>
          <w:rFonts w:ascii="Comic Sans MS" w:hAnsi="Comic Sans MS"/>
          <w:sz w:val="24"/>
        </w:rPr>
        <w:t>la population</w:t>
      </w:r>
      <w:r w:rsidR="00AB38AD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p</m:t>
        </m:r>
      </m:oMath>
      <w:r w:rsidR="005F0F9D">
        <w:rPr>
          <w:rFonts w:ascii="Comic Sans MS" w:hAnsi="Comic Sans MS"/>
          <w:sz w:val="24"/>
        </w:rPr>
        <w:t>)</w:t>
      </w:r>
      <w:proofErr w:type="gramEnd"/>
      <w:r w:rsidR="00AB38AD">
        <w:rPr>
          <w:rFonts w:ascii="Comic Sans MS" w:hAnsi="Comic Sans MS"/>
          <w:sz w:val="24"/>
        </w:rPr>
        <w:br/>
      </w:r>
      <w:r w:rsidR="005F0F9D">
        <w:rPr>
          <w:rFonts w:ascii="Comic Sans MS" w:hAnsi="Comic Sans MS"/>
          <w:sz w:val="24"/>
        </w:rPr>
        <w:t xml:space="preserve">On </w:t>
      </w:r>
      <w:r w:rsidR="0004149E">
        <w:rPr>
          <w:rFonts w:ascii="Comic Sans MS" w:hAnsi="Comic Sans MS"/>
          <w:sz w:val="24"/>
        </w:rPr>
        <w:t>définit</w:t>
      </w:r>
      <w:r w:rsidR="005F0F9D">
        <w:rPr>
          <w:rFonts w:ascii="Comic Sans MS" w:hAnsi="Comic Sans MS"/>
          <w:sz w:val="24"/>
        </w:rPr>
        <w:t xml:space="preserve"> </w:t>
      </w:r>
      <w:r w:rsidR="005F0F9D" w:rsidRPr="00AB38AD">
        <w:rPr>
          <w:rFonts w:ascii="Comic Sans MS" w:hAnsi="Comic Sans MS"/>
          <w:b/>
          <w:sz w:val="24"/>
        </w:rPr>
        <w:t>l’intervalle de fluctuation</w:t>
      </w:r>
      <w:r w:rsidR="005F0F9D">
        <w:rPr>
          <w:rFonts w:ascii="Comic Sans MS" w:hAnsi="Comic Sans MS"/>
          <w:sz w:val="24"/>
        </w:rPr>
        <w:t xml:space="preserve"> au seuil de 95% </w:t>
      </w:r>
      <w:r w:rsidR="00AB38AD">
        <w:rPr>
          <w:rFonts w:ascii="Comic Sans MS" w:hAnsi="Comic Sans MS"/>
          <w:sz w:val="24"/>
        </w:rPr>
        <w:t xml:space="preserve">pour des échantillons de taille </w:t>
      </w:r>
      <m:oMath>
        <m:r>
          <w:rPr>
            <w:rFonts w:ascii="Cambria Math" w:hAnsi="Cambria Math"/>
            <w:sz w:val="24"/>
          </w:rPr>
          <m:t>n≥25</m:t>
        </m:r>
      </m:oMath>
      <w:r w:rsidR="00AB38AD">
        <w:rPr>
          <w:rFonts w:ascii="Comic Sans MS" w:hAnsi="Comic Sans MS"/>
          <w:sz w:val="24"/>
        </w:rPr>
        <w:t xml:space="preserve"> et pour </w:t>
      </w:r>
      <m:oMath>
        <m:r>
          <w:rPr>
            <w:rFonts w:ascii="Cambria Math" w:hAnsi="Cambria Math"/>
            <w:sz w:val="24"/>
          </w:rPr>
          <m:t>p</m:t>
        </m:r>
      </m:oMath>
      <w:r w:rsidR="00AB38AD">
        <w:rPr>
          <w:rFonts w:ascii="Comic Sans MS" w:hAnsi="Comic Sans MS"/>
          <w:sz w:val="24"/>
        </w:rPr>
        <w:t xml:space="preserve"> compris entre </w:t>
      </w:r>
      <m:oMath>
        <m:r>
          <w:rPr>
            <w:rFonts w:ascii="Cambria Math" w:hAnsi="Cambria Math"/>
            <w:sz w:val="24"/>
          </w:rPr>
          <m:t>0,2</m:t>
        </m:r>
      </m:oMath>
      <w:r w:rsidR="00AB38AD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0,8</m:t>
        </m:r>
      </m:oMath>
      <w:r w:rsidR="00AB38AD">
        <w:rPr>
          <w:rFonts w:ascii="Comic Sans MS" w:hAnsi="Comic Sans MS"/>
          <w:sz w:val="24"/>
        </w:rPr>
        <w:t xml:space="preserve"> </w:t>
      </w:r>
      <w:r w:rsidR="005F0F9D">
        <w:rPr>
          <w:rFonts w:ascii="Comic Sans MS" w:hAnsi="Comic Sans MS"/>
          <w:sz w:val="24"/>
        </w:rPr>
        <w:t>par :</w:t>
      </w:r>
      <w:r w:rsidR="005F0F9D">
        <w:rPr>
          <w:rFonts w:ascii="Comic Sans MS" w:hAnsi="Comic Sans MS"/>
          <w:sz w:val="24"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p-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</w:rPr>
                <m:t xml:space="preserve"> ; p+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5F0F9D" w:rsidRPr="005F0F9D" w:rsidRDefault="005F0F9D" w:rsidP="005F0F9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On admet que pour de</w:t>
      </w:r>
      <w:r w:rsidR="00AB38AD">
        <w:rPr>
          <w:rFonts w:ascii="Comic Sans MS" w:hAnsi="Comic Sans MS"/>
          <w:sz w:val="24"/>
        </w:rPr>
        <w:t xml:space="preserve"> tels</w:t>
      </w:r>
      <w:r>
        <w:rPr>
          <w:rFonts w:ascii="Comic Sans MS" w:hAnsi="Comic Sans MS"/>
          <w:sz w:val="24"/>
        </w:rPr>
        <w:t xml:space="preserve"> échantillons la fréquence d’apparition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observé appartient à l’intervalle de fluctuation avec une probabilité d’au </w:t>
      </w:r>
      <w:proofErr w:type="gramStart"/>
      <w:r>
        <w:rPr>
          <w:rFonts w:ascii="Comic Sans MS" w:hAnsi="Comic Sans MS"/>
          <w:sz w:val="24"/>
        </w:rPr>
        <w:t>moi</w:t>
      </w:r>
      <w:r w:rsidR="00AB38AD">
        <w:rPr>
          <w:rFonts w:ascii="Comic Sans MS" w:hAnsi="Comic Sans MS"/>
          <w:sz w:val="24"/>
        </w:rPr>
        <w:t>n</w:t>
      </w:r>
      <w:r>
        <w:rPr>
          <w:rFonts w:ascii="Comic Sans MS" w:hAnsi="Comic Sans MS"/>
          <w:sz w:val="24"/>
        </w:rPr>
        <w:t xml:space="preserve">s </w:t>
      </w:r>
      <w:proofErr w:type="gramEnd"/>
      <m:oMath>
        <m:r>
          <w:rPr>
            <w:rFonts w:ascii="Cambria Math" w:hAnsi="Cambria Math"/>
            <w:sz w:val="24"/>
          </w:rPr>
          <m:t>0,95</m:t>
        </m:r>
      </m:oMath>
      <w:r>
        <w:rPr>
          <w:rFonts w:ascii="Comic Sans MS" w:hAnsi="Comic Sans MS"/>
          <w:sz w:val="24"/>
        </w:rPr>
        <w:t>.</w:t>
      </w:r>
    </w:p>
    <w:p w:rsidR="005F0F9D" w:rsidRPr="005F0F9D" w:rsidRDefault="005F0F9D" w:rsidP="005F0F9D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</w:p>
    <w:p w:rsidR="005F7A95" w:rsidRPr="001D5A5E" w:rsidRDefault="005F7A95" w:rsidP="005F7A95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Intervalle de confiance</w:t>
      </w:r>
    </w:p>
    <w:p w:rsidR="00AB38AD" w:rsidRPr="00AB38AD" w:rsidRDefault="00AB38AD" w:rsidP="00AB38A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AB38AD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AB38AD">
        <w:rPr>
          <w:rFonts w:ascii="Comic Sans MS" w:hAnsi="Comic Sans MS"/>
          <w:color w:val="00B050"/>
          <w:sz w:val="24"/>
        </w:rPr>
        <w:t> </w:t>
      </w:r>
      <w:r w:rsidRPr="00AB38AD">
        <w:rPr>
          <w:rFonts w:ascii="Comic Sans MS" w:hAnsi="Comic Sans MS"/>
          <w:sz w:val="24"/>
        </w:rPr>
        <w:t>: (Lorsqu’on</w:t>
      </w:r>
      <w:r>
        <w:rPr>
          <w:rFonts w:ascii="Comic Sans MS" w:hAnsi="Comic Sans MS"/>
          <w:sz w:val="24"/>
        </w:rPr>
        <w:t xml:space="preserve"> </w:t>
      </w:r>
      <w:r w:rsidRPr="00AB38AD">
        <w:rPr>
          <w:rFonts w:ascii="Comic Sans MS" w:hAnsi="Comic Sans MS"/>
          <w:b/>
          <w:sz w:val="24"/>
        </w:rPr>
        <w:t>ne</w:t>
      </w:r>
      <w:r w:rsidRPr="00AB38AD">
        <w:rPr>
          <w:rFonts w:ascii="Comic Sans MS" w:hAnsi="Comic Sans MS"/>
          <w:sz w:val="24"/>
        </w:rPr>
        <w:t xml:space="preserve"> connait</w:t>
      </w:r>
      <w:r>
        <w:rPr>
          <w:rFonts w:ascii="Comic Sans MS" w:hAnsi="Comic Sans MS"/>
          <w:sz w:val="24"/>
        </w:rPr>
        <w:t xml:space="preserve"> </w:t>
      </w:r>
      <w:r w:rsidRPr="00AB38AD">
        <w:rPr>
          <w:rFonts w:ascii="Comic Sans MS" w:hAnsi="Comic Sans MS"/>
          <w:b/>
          <w:sz w:val="24"/>
        </w:rPr>
        <w:t>pas</w:t>
      </w:r>
      <w:r w:rsidRPr="00AB38AD">
        <w:rPr>
          <w:rFonts w:ascii="Comic Sans MS" w:hAnsi="Comic Sans MS"/>
          <w:sz w:val="24"/>
        </w:rPr>
        <w:t xml:space="preserve"> la proportion du caractère dans </w:t>
      </w:r>
      <w:proofErr w:type="gramStart"/>
      <w:r w:rsidRPr="00AB38AD">
        <w:rPr>
          <w:rFonts w:ascii="Comic Sans MS" w:hAnsi="Comic Sans MS"/>
          <w:sz w:val="24"/>
        </w:rPr>
        <w:t xml:space="preserve">la population </w:t>
      </w:r>
      <m:oMath>
        <m:r>
          <w:rPr>
            <w:rFonts w:ascii="Cambria Math" w:hAnsi="Cambria Math"/>
            <w:sz w:val="24"/>
          </w:rPr>
          <m:t>p</m:t>
        </m:r>
      </m:oMath>
      <w:r w:rsidRPr="00AB38AD">
        <w:rPr>
          <w:rFonts w:ascii="Comic Sans MS" w:hAnsi="Comic Sans MS"/>
          <w:sz w:val="24"/>
        </w:rPr>
        <w:t>)</w:t>
      </w:r>
      <w:proofErr w:type="gramEnd"/>
      <w:r w:rsidRPr="00AB38AD">
        <w:rPr>
          <w:rFonts w:ascii="Comic Sans MS" w:hAnsi="Comic Sans MS"/>
          <w:sz w:val="24"/>
        </w:rPr>
        <w:br/>
        <w:t xml:space="preserve">On défini </w:t>
      </w:r>
      <w:r w:rsidRPr="00AB38AD">
        <w:rPr>
          <w:rFonts w:ascii="Comic Sans MS" w:hAnsi="Comic Sans MS"/>
          <w:b/>
          <w:sz w:val="24"/>
        </w:rPr>
        <w:t xml:space="preserve">l’intervalle de </w:t>
      </w:r>
      <w:r>
        <w:rPr>
          <w:rFonts w:ascii="Comic Sans MS" w:hAnsi="Comic Sans MS"/>
          <w:b/>
          <w:sz w:val="24"/>
        </w:rPr>
        <w:t>confiance</w:t>
      </w:r>
      <w:r w:rsidRPr="00AB38AD">
        <w:rPr>
          <w:rFonts w:ascii="Comic Sans MS" w:hAnsi="Comic Sans MS"/>
          <w:sz w:val="24"/>
        </w:rPr>
        <w:t xml:space="preserve"> au seuil de 95% pour des échantillons de taille </w:t>
      </w:r>
      <m:oMath>
        <m:r>
          <w:rPr>
            <w:rFonts w:ascii="Cambria Math" w:hAnsi="Cambria Math"/>
            <w:sz w:val="24"/>
          </w:rPr>
          <m:t>n≥25</m:t>
        </m:r>
      </m:oMath>
      <w:r w:rsidRPr="00AB38AD">
        <w:rPr>
          <w:rFonts w:ascii="Comic Sans MS" w:hAnsi="Comic Sans MS"/>
          <w:sz w:val="24"/>
        </w:rPr>
        <w:t xml:space="preserve"> et </w:t>
      </w:r>
      <w:r>
        <w:rPr>
          <w:rFonts w:ascii="Comic Sans MS" w:hAnsi="Comic Sans MS"/>
          <w:sz w:val="24"/>
        </w:rPr>
        <w:t xml:space="preserve">un caractère qui apparaît avec une fréquence </w:t>
      </w:r>
      <m:oMath>
        <m:r>
          <w:rPr>
            <w:rFonts w:ascii="Cambria Math" w:hAnsi="Cambria Math"/>
            <w:sz w:val="24"/>
          </w:rPr>
          <m:t>f</m:t>
        </m:r>
      </m:oMath>
      <w:r w:rsidRPr="00AB38AD">
        <w:rPr>
          <w:rFonts w:ascii="Comic Sans MS" w:hAnsi="Comic Sans MS"/>
          <w:sz w:val="24"/>
        </w:rPr>
        <w:t xml:space="preserve"> compris</w:t>
      </w:r>
      <w:r>
        <w:rPr>
          <w:rFonts w:ascii="Comic Sans MS" w:hAnsi="Comic Sans MS"/>
          <w:sz w:val="24"/>
        </w:rPr>
        <w:t>e</w:t>
      </w:r>
      <w:r w:rsidRPr="00AB38AD">
        <w:rPr>
          <w:rFonts w:ascii="Comic Sans MS" w:hAnsi="Comic Sans MS"/>
          <w:sz w:val="24"/>
        </w:rPr>
        <w:t xml:space="preserve"> entre </w:t>
      </w:r>
      <m:oMath>
        <m:r>
          <w:rPr>
            <w:rFonts w:ascii="Cambria Math" w:hAnsi="Cambria Math"/>
            <w:sz w:val="24"/>
          </w:rPr>
          <m:t>0,2</m:t>
        </m:r>
      </m:oMath>
      <w:r w:rsidRPr="00AB38AD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0,8</m:t>
        </m:r>
      </m:oMath>
      <w:r w:rsidRPr="00AB38AD">
        <w:rPr>
          <w:rFonts w:ascii="Comic Sans MS" w:hAnsi="Comic Sans MS"/>
          <w:sz w:val="24"/>
        </w:rPr>
        <w:t xml:space="preserve"> par :</w:t>
      </w:r>
      <w:r w:rsidRPr="00AB38AD">
        <w:rPr>
          <w:rFonts w:ascii="Comic Sans MS" w:hAnsi="Comic Sans MS"/>
          <w:sz w:val="24"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f-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</w:rPr>
                <m:t xml:space="preserve"> ; f+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AB38AD" w:rsidRPr="00AB38AD" w:rsidRDefault="00AB38AD" w:rsidP="00AB38A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AB38AD">
        <w:rPr>
          <w:rFonts w:ascii="Comic Sans MS" w:hAnsi="Comic Sans MS"/>
          <w:sz w:val="24"/>
        </w:rPr>
        <w:t xml:space="preserve">On </w:t>
      </w:r>
      <w:r>
        <w:rPr>
          <w:rFonts w:ascii="Comic Sans MS" w:hAnsi="Comic Sans MS"/>
          <w:sz w:val="24"/>
        </w:rPr>
        <w:t xml:space="preserve">peut estimer que la proportion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 xml:space="preserve"> du caractère dans la population totale est dans l’intervalle de confiance avec une probabilité d’au </w:t>
      </w:r>
      <w:proofErr w:type="gramStart"/>
      <w:r>
        <w:rPr>
          <w:rFonts w:ascii="Comic Sans MS" w:hAnsi="Comic Sans MS"/>
          <w:sz w:val="24"/>
        </w:rPr>
        <w:t xml:space="preserve">moins </w:t>
      </w:r>
      <w:proofErr w:type="gramEnd"/>
      <m:oMath>
        <m:r>
          <w:rPr>
            <w:rFonts w:ascii="Cambria Math" w:hAnsi="Cambria Math"/>
            <w:sz w:val="24"/>
          </w:rPr>
          <m:t>0,95</m:t>
        </m:r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ATTENTION : dans 5% des cas, l’intervalle de confiance ne contient peut-être </w:t>
      </w:r>
      <w:proofErr w:type="gramStart"/>
      <w:r>
        <w:rPr>
          <w:rFonts w:ascii="Comic Sans MS" w:hAnsi="Comic Sans MS"/>
          <w:sz w:val="24"/>
        </w:rPr>
        <w:t xml:space="preserve">pas </w:t>
      </w:r>
      <w:proofErr w:type="gramEnd"/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>.</w:t>
      </w:r>
    </w:p>
    <w:p w:rsidR="00AB38AD" w:rsidRPr="003F7809" w:rsidRDefault="00AB38AD">
      <w:pPr>
        <w:rPr>
          <w:sz w:val="24"/>
        </w:rPr>
      </w:pPr>
      <w:r>
        <w:rPr>
          <w:rFonts w:ascii="Comic Sans MS" w:hAnsi="Comic Sans MS"/>
          <w:sz w:val="24"/>
        </w:rPr>
        <w:t>On parlera quelques fois de « preuve statistique ».</w:t>
      </w:r>
    </w:p>
    <w:sectPr w:rsidR="00AB38AD" w:rsidRPr="003F7809" w:rsidSect="00A72F95">
      <w:headerReference w:type="default" r:id="rId10"/>
      <w:footerReference w:type="default" r:id="rId11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207" w:rsidRDefault="00F67207" w:rsidP="000810CD">
      <w:pPr>
        <w:spacing w:after="0" w:line="240" w:lineRule="auto"/>
      </w:pPr>
      <w:r>
        <w:separator/>
      </w:r>
    </w:p>
  </w:endnote>
  <w:endnote w:type="continuationSeparator" w:id="0">
    <w:p w:rsidR="00F67207" w:rsidRDefault="00F67207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387D34">
      <w:tc>
        <w:tcPr>
          <w:tcW w:w="918" w:type="dxa"/>
        </w:tcPr>
        <w:p w:rsidR="00387D34" w:rsidRDefault="00F44603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387D34">
            <w:instrText xml:space="preserve"> PAGE   \* MERGEFORMAT </w:instrText>
          </w:r>
          <w:r>
            <w:fldChar w:fldCharType="separate"/>
          </w:r>
          <w:r w:rsidR="00736E2F" w:rsidRPr="00736E2F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87D34" w:rsidRDefault="00387D34">
          <w:pPr>
            <w:pStyle w:val="Pieddepage"/>
          </w:pPr>
        </w:p>
      </w:tc>
    </w:tr>
  </w:tbl>
  <w:p w:rsidR="00387D34" w:rsidRDefault="00387D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207" w:rsidRDefault="00F67207" w:rsidP="000810CD">
      <w:pPr>
        <w:spacing w:after="0" w:line="240" w:lineRule="auto"/>
      </w:pPr>
      <w:r>
        <w:separator/>
      </w:r>
    </w:p>
  </w:footnote>
  <w:footnote w:type="continuationSeparator" w:id="0">
    <w:p w:rsidR="00F67207" w:rsidRDefault="00F67207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D34" w:rsidRDefault="00736E2F" w:rsidP="009D70F6">
    <w:pPr>
      <w:pStyle w:val="En-tte"/>
      <w:tabs>
        <w:tab w:val="clear" w:pos="9072"/>
        <w:tab w:val="right" w:pos="10348"/>
      </w:tabs>
    </w:pPr>
    <w:r>
      <w:t>Seconde GT</w:t>
    </w:r>
    <w:r w:rsidR="00387D34">
      <w:ptab w:relativeTo="margin" w:alignment="center" w:leader="none"/>
    </w:r>
    <w:r w:rsidR="00D62869">
      <w:t>Echantillonnage</w:t>
    </w:r>
    <w:r w:rsidR="00387D34">
      <w:ptab w:relativeTo="margin" w:alignment="right" w:leader="none"/>
    </w:r>
    <w:r w:rsidR="00D62869">
      <w:t>17/05</w:t>
    </w:r>
    <w:r w:rsidR="00387D34">
      <w:t>/2013</w:t>
    </w:r>
  </w:p>
  <w:p w:rsidR="00387D34" w:rsidRDefault="00387D34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B749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7263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C433B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A241D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20"/>
  </w:num>
  <w:num w:numId="5">
    <w:abstractNumId w:val="24"/>
  </w:num>
  <w:num w:numId="6">
    <w:abstractNumId w:val="17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3"/>
  </w:num>
  <w:num w:numId="11">
    <w:abstractNumId w:val="23"/>
  </w:num>
  <w:num w:numId="12">
    <w:abstractNumId w:val="5"/>
  </w:num>
  <w:num w:numId="13">
    <w:abstractNumId w:val="18"/>
  </w:num>
  <w:num w:numId="14">
    <w:abstractNumId w:val="1"/>
  </w:num>
  <w:num w:numId="15">
    <w:abstractNumId w:val="15"/>
  </w:num>
  <w:num w:numId="16">
    <w:abstractNumId w:val="19"/>
  </w:num>
  <w:num w:numId="17">
    <w:abstractNumId w:val="21"/>
  </w:num>
  <w:num w:numId="18">
    <w:abstractNumId w:val="4"/>
  </w:num>
  <w:num w:numId="19">
    <w:abstractNumId w:val="13"/>
  </w:num>
  <w:num w:numId="20">
    <w:abstractNumId w:val="14"/>
  </w:num>
  <w:num w:numId="21">
    <w:abstractNumId w:val="10"/>
  </w:num>
  <w:num w:numId="22">
    <w:abstractNumId w:val="8"/>
  </w:num>
  <w:num w:numId="23">
    <w:abstractNumId w:val="25"/>
  </w:num>
  <w:num w:numId="24">
    <w:abstractNumId w:val="11"/>
  </w:num>
  <w:num w:numId="25">
    <w:abstractNumId w:val="9"/>
  </w:num>
  <w:num w:numId="26">
    <w:abstractNumId w:val="12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15EB6"/>
    <w:rsid w:val="0004149E"/>
    <w:rsid w:val="00042DFE"/>
    <w:rsid w:val="000430DB"/>
    <w:rsid w:val="00071062"/>
    <w:rsid w:val="00074A6F"/>
    <w:rsid w:val="000810CD"/>
    <w:rsid w:val="00086456"/>
    <w:rsid w:val="000D07B6"/>
    <w:rsid w:val="001159E2"/>
    <w:rsid w:val="00191AE5"/>
    <w:rsid w:val="001D5A5E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2C6F"/>
    <w:rsid w:val="00345C22"/>
    <w:rsid w:val="0035506A"/>
    <w:rsid w:val="00375A31"/>
    <w:rsid w:val="00383755"/>
    <w:rsid w:val="00383BD8"/>
    <w:rsid w:val="00387D34"/>
    <w:rsid w:val="003B5AA2"/>
    <w:rsid w:val="003C7DCE"/>
    <w:rsid w:val="003D0A00"/>
    <w:rsid w:val="003D2FE7"/>
    <w:rsid w:val="003F7809"/>
    <w:rsid w:val="00407E22"/>
    <w:rsid w:val="00463E42"/>
    <w:rsid w:val="00482D7D"/>
    <w:rsid w:val="004833AC"/>
    <w:rsid w:val="00492156"/>
    <w:rsid w:val="004C0394"/>
    <w:rsid w:val="004D5239"/>
    <w:rsid w:val="004D6751"/>
    <w:rsid w:val="00514C14"/>
    <w:rsid w:val="005162A4"/>
    <w:rsid w:val="00527B19"/>
    <w:rsid w:val="005400F1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0F9D"/>
    <w:rsid w:val="005F7489"/>
    <w:rsid w:val="005F7A95"/>
    <w:rsid w:val="006237E5"/>
    <w:rsid w:val="00670516"/>
    <w:rsid w:val="0068164F"/>
    <w:rsid w:val="00690F8F"/>
    <w:rsid w:val="00691FD4"/>
    <w:rsid w:val="006E54DD"/>
    <w:rsid w:val="00734948"/>
    <w:rsid w:val="00736E2F"/>
    <w:rsid w:val="00760C1B"/>
    <w:rsid w:val="007A22D5"/>
    <w:rsid w:val="007F36AE"/>
    <w:rsid w:val="008227A0"/>
    <w:rsid w:val="00827403"/>
    <w:rsid w:val="008570FB"/>
    <w:rsid w:val="00876610"/>
    <w:rsid w:val="008D301A"/>
    <w:rsid w:val="008D7FF6"/>
    <w:rsid w:val="009263DD"/>
    <w:rsid w:val="0093567E"/>
    <w:rsid w:val="0093771A"/>
    <w:rsid w:val="009520C7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72F95"/>
    <w:rsid w:val="00AA2836"/>
    <w:rsid w:val="00AA328F"/>
    <w:rsid w:val="00AB38AD"/>
    <w:rsid w:val="00AB76CB"/>
    <w:rsid w:val="00AD0B35"/>
    <w:rsid w:val="00AD134E"/>
    <w:rsid w:val="00AD1632"/>
    <w:rsid w:val="00AF176D"/>
    <w:rsid w:val="00B0791A"/>
    <w:rsid w:val="00B23F0F"/>
    <w:rsid w:val="00B27F88"/>
    <w:rsid w:val="00B44A10"/>
    <w:rsid w:val="00B91CEA"/>
    <w:rsid w:val="00B9453B"/>
    <w:rsid w:val="00B95C4F"/>
    <w:rsid w:val="00BA0436"/>
    <w:rsid w:val="00BA1EFF"/>
    <w:rsid w:val="00C16F3C"/>
    <w:rsid w:val="00C570E5"/>
    <w:rsid w:val="00C841C5"/>
    <w:rsid w:val="00CC7A45"/>
    <w:rsid w:val="00CD343A"/>
    <w:rsid w:val="00D15A13"/>
    <w:rsid w:val="00D34542"/>
    <w:rsid w:val="00D34D6B"/>
    <w:rsid w:val="00D37877"/>
    <w:rsid w:val="00D62869"/>
    <w:rsid w:val="00D63D1D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792"/>
    <w:rsid w:val="00E67B65"/>
    <w:rsid w:val="00F034B3"/>
    <w:rsid w:val="00F44603"/>
    <w:rsid w:val="00F4682B"/>
    <w:rsid w:val="00F51708"/>
    <w:rsid w:val="00F67207"/>
    <w:rsid w:val="00F7279B"/>
    <w:rsid w:val="00F7516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  <w:style w:type="table" w:styleId="Grillemoyenne2-Accent4">
    <w:name w:val="Medium Grid 2 Accent 4"/>
    <w:basedOn w:val="TableauNormal"/>
    <w:uiPriority w:val="68"/>
    <w:rsid w:val="00E677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">
    <w:name w:val="Medium Grid 2"/>
    <w:basedOn w:val="TableauNormal"/>
    <w:uiPriority w:val="68"/>
    <w:rsid w:val="007A22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  <w:style w:type="table" w:styleId="Grillemoyenne2-Accent4">
    <w:name w:val="Medium Grid 2 Accent 4"/>
    <w:basedOn w:val="TableauNormal"/>
    <w:uiPriority w:val="68"/>
    <w:rsid w:val="00E677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">
    <w:name w:val="Medium Grid 2"/>
    <w:basedOn w:val="TableauNormal"/>
    <w:uiPriority w:val="68"/>
    <w:rsid w:val="007A22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42746-50F5-4F49-9718-461954BE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1397</Characters>
  <Application>Microsoft Office Word</Application>
  <DocSecurity>0</DocSecurity>
  <Lines>25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4</cp:revision>
  <cp:lastPrinted>2012-12-19T11:24:00Z</cp:lastPrinted>
  <dcterms:created xsi:type="dcterms:W3CDTF">2013-05-01T10:27:00Z</dcterms:created>
  <dcterms:modified xsi:type="dcterms:W3CDTF">2013-05-01T11:23:00Z</dcterms:modified>
</cp:coreProperties>
</file>